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20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080"/>
        <w:gridCol w:w="992"/>
      </w:tblGrid>
      <w:tr w14:paraId="311F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35" w:type="dxa"/>
            <w:vAlign w:val="center"/>
          </w:tcPr>
          <w:p w14:paraId="0C88187A">
            <w:pPr>
              <w:jc w:val="center"/>
              <w:rPr>
                <w:rFonts w:hint="eastAsia" w:ascii="宋体" w:hAnsi="宋体"/>
                <w:sz w:val="22"/>
                <w:szCs w:val="22"/>
              </w:rPr>
            </w:pPr>
            <w:bookmarkStart w:id="0" w:name="_Hlk72929207"/>
            <w:r>
              <w:rPr>
                <w:rFonts w:hint="eastAsia" w:ascii="宋体" w:hAnsi="宋体"/>
                <w:sz w:val="22"/>
                <w:szCs w:val="22"/>
              </w:rPr>
              <w:t>产品名称</w:t>
            </w:r>
          </w:p>
        </w:tc>
        <w:tc>
          <w:tcPr>
            <w:tcW w:w="8080" w:type="dxa"/>
            <w:vAlign w:val="center"/>
          </w:tcPr>
          <w:p w14:paraId="46A631C4">
            <w:pPr>
              <w:jc w:val="center"/>
              <w:rPr>
                <w:rFonts w:hint="eastAsia" w:ascii="宋体" w:hAnsi="宋体"/>
                <w:sz w:val="22"/>
                <w:szCs w:val="22"/>
              </w:rPr>
            </w:pPr>
            <w:r>
              <w:rPr>
                <w:rFonts w:hint="eastAsia" w:ascii="宋体" w:hAnsi="宋体"/>
                <w:sz w:val="22"/>
                <w:szCs w:val="22"/>
              </w:rPr>
              <w:t>产品描述</w:t>
            </w:r>
          </w:p>
        </w:tc>
        <w:tc>
          <w:tcPr>
            <w:tcW w:w="992" w:type="dxa"/>
          </w:tcPr>
          <w:p w14:paraId="36AB249D">
            <w:pPr>
              <w:jc w:val="center"/>
              <w:rPr>
                <w:rFonts w:hint="eastAsia" w:ascii="宋体" w:hAnsi="宋体"/>
                <w:sz w:val="22"/>
                <w:szCs w:val="22"/>
              </w:rPr>
            </w:pPr>
            <w:r>
              <w:rPr>
                <w:rFonts w:hint="eastAsia" w:ascii="宋体" w:hAnsi="宋体"/>
                <w:sz w:val="22"/>
                <w:szCs w:val="22"/>
              </w:rPr>
              <w:t>数量</w:t>
            </w:r>
          </w:p>
        </w:tc>
      </w:tr>
      <w:tr w14:paraId="3C8A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135" w:type="dxa"/>
            <w:vAlign w:val="center"/>
          </w:tcPr>
          <w:p w14:paraId="29DADBBC">
            <w:pPr>
              <w:widowControl/>
              <w:jc w:val="center"/>
              <w:textAlignment w:val="center"/>
              <w:rPr>
                <w:rFonts w:hint="eastAsia" w:ascii="宋体" w:hAnsi="宋体"/>
                <w:sz w:val="20"/>
                <w:szCs w:val="20"/>
              </w:rPr>
            </w:pPr>
            <w:r>
              <w:rPr>
                <w:rFonts w:hint="eastAsia" w:ascii="宋体" w:hAnsi="宋体"/>
                <w:sz w:val="20"/>
                <w:szCs w:val="20"/>
              </w:rPr>
              <w:t>下一代防火墙</w:t>
            </w:r>
          </w:p>
        </w:tc>
        <w:tc>
          <w:tcPr>
            <w:tcW w:w="8080" w:type="dxa"/>
            <w:vAlign w:val="center"/>
          </w:tcPr>
          <w:p w14:paraId="40907D94">
            <w:pPr>
              <w:widowControl/>
              <w:numPr>
                <w:ilvl w:val="0"/>
                <w:numId w:val="1"/>
              </w:numPr>
              <w:textAlignment w:val="center"/>
              <w:rPr>
                <w:rFonts w:hint="eastAsia" w:ascii="宋体" w:hAnsi="宋体"/>
                <w:sz w:val="20"/>
                <w:szCs w:val="20"/>
              </w:rPr>
            </w:pPr>
            <w:r>
              <w:rPr>
                <w:rFonts w:hint="eastAsia" w:ascii="宋体" w:hAnsi="宋体"/>
                <w:sz w:val="20"/>
                <w:szCs w:val="20"/>
              </w:rPr>
              <w:t>性能参数：网络层吞吐量≥3G，应用层吞吐量≥1G，防病毒吞吐量≥500M，IPS吞吐量≥400M。</w:t>
            </w:r>
          </w:p>
          <w:p w14:paraId="022E7ACD">
            <w:pPr>
              <w:widowControl/>
              <w:numPr>
                <w:ilvl w:val="0"/>
                <w:numId w:val="1"/>
              </w:numPr>
              <w:textAlignment w:val="center"/>
              <w:rPr>
                <w:rFonts w:hint="eastAsia" w:ascii="宋体" w:hAnsi="宋体"/>
                <w:sz w:val="20"/>
                <w:szCs w:val="20"/>
              </w:rPr>
            </w:pPr>
            <w:r>
              <w:rPr>
                <w:rFonts w:hint="eastAsia" w:ascii="宋体" w:hAnsi="宋体"/>
                <w:sz w:val="20"/>
                <w:szCs w:val="20"/>
              </w:rPr>
              <w:t>硬件参数：规格：1U，内存≥4G，硬盘容量≥64G SSD，电源：单电源，接口：≥6个千兆电口，≥4个千兆光口SFP。</w:t>
            </w:r>
          </w:p>
          <w:p w14:paraId="4C29AA64">
            <w:pPr>
              <w:rPr>
                <w:rFonts w:hint="eastAsia" w:ascii="宋体" w:hAnsi="宋体"/>
              </w:rPr>
            </w:pPr>
            <w:r>
              <w:rPr>
                <w:rFonts w:hint="eastAsia" w:ascii="宋体" w:hAnsi="宋体"/>
              </w:rPr>
              <w:t>3、支持IPv4／v6 NAT地址转换，支持源地址转换，目的地址转换和双向地址转换，支持针对源IP、目的IP和双向IP连接数控制，支持NAT64、NAT46 地址转换；</w:t>
            </w:r>
          </w:p>
          <w:p w14:paraId="757AA6B4">
            <w:pPr>
              <w:rPr>
                <w:rFonts w:hint="eastAsia" w:ascii="宋体" w:hAnsi="宋体"/>
              </w:rPr>
            </w:pPr>
            <w:r>
              <w:rPr>
                <w:rFonts w:hint="eastAsia" w:ascii="宋体" w:hAnsi="宋体"/>
              </w:rPr>
              <w:t>4、支持基于五元组的访问功能，在重点保护期间，能够通过国家地域的方式进行访问控制；访问控制规则支持模拟策略匹配，输入源目的IP、端口、协议五元组信息，模拟策略匹配方式，给出最可能的匹配结果，方便排查故障，或环境部署前的调试；</w:t>
            </w:r>
          </w:p>
          <w:p w14:paraId="7D5A3934">
            <w:pPr>
              <w:rPr>
                <w:rFonts w:hint="eastAsia" w:ascii="宋体" w:hAnsi="宋体"/>
              </w:rPr>
            </w:pPr>
            <w:r>
              <w:rPr>
                <w:rFonts w:hint="eastAsia" w:ascii="宋体" w:hAnsi="宋体"/>
              </w:rPr>
              <w:t>5、支持对不少于9880种应用的识别和控制，应用类型包括游戏、购物、图书百科、工作招聘、P2P下载、聊天工具、旅游出行、股票软件等类型应用进行检测与控制。（需提供产品功能截图证明并加盖厂商公章）</w:t>
            </w:r>
          </w:p>
          <w:p w14:paraId="09517CCD">
            <w:pPr>
              <w:rPr>
                <w:rFonts w:hint="eastAsia" w:ascii="宋体" w:hAnsi="宋体"/>
              </w:rPr>
            </w:pPr>
            <w:r>
              <w:rPr>
                <w:rFonts w:hint="eastAsia" w:ascii="宋体" w:hAnsi="宋体"/>
              </w:rPr>
              <w:t>6、为保障各地域的访问管控能力，支持基于地区维度设置流控策略，实现多区域流量批量快速管控功能。所投产品必须提供具备CMA认证的第三方权威机构关于“国家/地区的流量管理”功能项的产品检测报告。（需提供相关证明材料并加盖厂商公章）</w:t>
            </w:r>
          </w:p>
          <w:p w14:paraId="162D7029">
            <w:pPr>
              <w:rPr>
                <w:rFonts w:hint="eastAsia" w:ascii="宋体" w:hAnsi="宋体"/>
              </w:rPr>
            </w:pPr>
            <w:r>
              <w:rPr>
                <w:rFonts w:hint="eastAsia" w:ascii="宋体" w:hAnsi="宋体"/>
              </w:rPr>
              <w:t>7、为保障病毒防护效果，支持对多重压缩文件的病毒检测能力，支持不小于15层压缩文件病毒检测与处置。（需提供产品功能截图证明并加盖厂商公章）</w:t>
            </w:r>
          </w:p>
          <w:p w14:paraId="68348466">
            <w:pPr>
              <w:rPr>
                <w:rFonts w:hint="eastAsia" w:ascii="宋体" w:hAnsi="宋体"/>
              </w:rPr>
            </w:pPr>
            <w:r>
              <w:rPr>
                <w:rFonts w:hint="eastAsia" w:ascii="宋体" w:hAnsi="宋体"/>
              </w:rPr>
              <w:t>8、为避免单位因遭遇近期多种变种勒索病毒的攻击，支持勒索病毒检测与防御功能</w:t>
            </w:r>
          </w:p>
          <w:p w14:paraId="41C81D0A">
            <w:pPr>
              <w:rPr>
                <w:rFonts w:hint="eastAsia" w:ascii="宋体" w:hAnsi="宋体"/>
              </w:rPr>
            </w:pPr>
            <w:r>
              <w:rPr>
                <w:rFonts w:hint="eastAsia" w:ascii="宋体" w:hAnsi="宋体"/>
              </w:rPr>
              <w:t>9、支持僵尸主机检测功能，产品预定义特征库超过110万种，可识别主机的异常外联行为。（需提供产品功能截图证明并加盖厂商公章）</w:t>
            </w:r>
          </w:p>
          <w:p w14:paraId="350ED642">
            <w:pPr>
              <w:widowControl/>
              <w:textAlignment w:val="center"/>
              <w:rPr>
                <w:rFonts w:hint="eastAsia" w:ascii="宋体" w:hAnsi="宋体"/>
                <w:sz w:val="20"/>
                <w:szCs w:val="20"/>
              </w:rPr>
            </w:pPr>
            <w:r>
              <w:rPr>
                <w:rFonts w:hint="eastAsia" w:ascii="宋体" w:hAnsi="宋体"/>
                <w:sz w:val="20"/>
                <w:szCs w:val="20"/>
              </w:rPr>
              <w:t>10、</w:t>
            </w:r>
            <w:r>
              <w:rPr>
                <w:rFonts w:hint="eastAsia" w:ascii="宋体" w:hAnsi="宋体"/>
              </w:rPr>
              <w:t>为避免单位遭到挖矿病毒攻击，支持CC通信检测防护，支持CC攻击防护功能，为保障勒CC攻击的检测效果。</w:t>
            </w:r>
          </w:p>
        </w:tc>
        <w:tc>
          <w:tcPr>
            <w:tcW w:w="992" w:type="dxa"/>
          </w:tcPr>
          <w:p w14:paraId="045F2D0C">
            <w:pPr>
              <w:widowControl/>
              <w:tabs>
                <w:tab w:val="left" w:pos="312"/>
              </w:tabs>
              <w:textAlignment w:val="center"/>
              <w:rPr>
                <w:rFonts w:hint="eastAsia" w:ascii="宋体" w:hAnsi="宋体"/>
                <w:sz w:val="20"/>
                <w:szCs w:val="20"/>
              </w:rPr>
            </w:pPr>
          </w:p>
          <w:p w14:paraId="5E8E80C5">
            <w:pPr>
              <w:pStyle w:val="2"/>
              <w:ind w:left="0" w:firstLine="0" w:firstLineChars="0"/>
            </w:pPr>
          </w:p>
          <w:p w14:paraId="3AEE318D">
            <w:pPr>
              <w:pStyle w:val="2"/>
              <w:ind w:left="0" w:firstLine="0" w:firstLineChars="0"/>
            </w:pPr>
          </w:p>
          <w:p w14:paraId="2E42B1DA">
            <w:pPr>
              <w:pStyle w:val="2"/>
              <w:ind w:left="0" w:firstLine="0" w:firstLineChars="0"/>
            </w:pPr>
          </w:p>
          <w:p w14:paraId="5604271E">
            <w:pPr>
              <w:pStyle w:val="2"/>
              <w:ind w:left="0" w:firstLine="0" w:firstLineChars="0"/>
            </w:pPr>
          </w:p>
          <w:p w14:paraId="3A6ACF1A">
            <w:pPr>
              <w:pStyle w:val="2"/>
              <w:ind w:left="0" w:firstLine="0" w:firstLineChars="0"/>
            </w:pPr>
          </w:p>
          <w:p w14:paraId="7F480AAA">
            <w:pPr>
              <w:pStyle w:val="2"/>
              <w:ind w:firstLine="0" w:firstLineChars="0"/>
            </w:pPr>
            <w:r>
              <w:rPr>
                <w:rFonts w:hint="eastAsia"/>
              </w:rPr>
              <w:t>2台</w:t>
            </w:r>
          </w:p>
        </w:tc>
      </w:tr>
      <w:tr w14:paraId="1B12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1135" w:type="dxa"/>
            <w:vAlign w:val="center"/>
          </w:tcPr>
          <w:p w14:paraId="19D0C157">
            <w:pPr>
              <w:widowControl/>
              <w:jc w:val="center"/>
              <w:textAlignment w:val="center"/>
              <w:rPr>
                <w:rFonts w:hint="eastAsia" w:ascii="宋体" w:hAnsi="宋体"/>
                <w:sz w:val="20"/>
                <w:szCs w:val="20"/>
              </w:rPr>
            </w:pPr>
            <w:r>
              <w:rPr>
                <w:rFonts w:hint="eastAsia" w:ascii="宋体" w:hAnsi="宋体"/>
                <w:sz w:val="20"/>
                <w:szCs w:val="20"/>
              </w:rPr>
              <w:t>杀毒软件aES</w:t>
            </w:r>
          </w:p>
        </w:tc>
        <w:tc>
          <w:tcPr>
            <w:tcW w:w="8080" w:type="dxa"/>
            <w:vAlign w:val="center"/>
          </w:tcPr>
          <w:p w14:paraId="1E90FE05">
            <w:pPr>
              <w:rPr>
                <w:rFonts w:hint="eastAsia" w:ascii="宋体" w:hAnsi="宋体"/>
              </w:rPr>
            </w:pPr>
            <w:r>
              <w:rPr>
                <w:rFonts w:hint="eastAsia" w:ascii="宋体" w:hAnsi="宋体"/>
              </w:rPr>
              <w:t>1、产品可以纯软件交付，包含管理控制中心软件及终端客户端软件，其中管理控制中心可云化部署，本次配置≥150点PC授权；</w:t>
            </w:r>
          </w:p>
          <w:p w14:paraId="3B6DB938">
            <w:pPr>
              <w:rPr>
                <w:rFonts w:hint="eastAsia" w:ascii="宋体" w:hAnsi="宋体"/>
              </w:rPr>
            </w:pPr>
            <w:r>
              <w:rPr>
                <w:rFonts w:hint="eastAsia" w:ascii="宋体" w:hAnsi="宋体"/>
              </w:rPr>
              <w:t>2、具备高兼容性，在识别到终端存在非适配的第三方软件时可使用兼容模式进行安装，灵活调整agent策略，提供流畅的终端体验。</w:t>
            </w:r>
          </w:p>
          <w:p w14:paraId="7B67640B">
            <w:pPr>
              <w:rPr>
                <w:rFonts w:hint="eastAsia" w:ascii="宋体" w:hAnsi="宋体"/>
              </w:rPr>
            </w:pPr>
            <w:r>
              <w:rPr>
                <w:rFonts w:hint="eastAsia" w:ascii="宋体" w:hAnsi="宋体"/>
              </w:rPr>
              <w:t>3、Windows服务器 客户端支持Windows Server 2003/Windows Server 2008/Windows Server 2008 R2/Windows Server 2012/Windows Server 2016；Linux服务器 客户端支持    CentOS/UbuntuDebian/RHEL/SUSE/Red Flag Asianux Server/Oracle Linux。</w:t>
            </w:r>
          </w:p>
          <w:p w14:paraId="4875FDDF">
            <w:pPr>
              <w:rPr>
                <w:rFonts w:hint="eastAsia" w:ascii="宋体" w:hAnsi="宋体"/>
              </w:rPr>
            </w:pPr>
            <w:r>
              <w:rPr>
                <w:rFonts w:hint="eastAsia" w:ascii="宋体" w:hAnsi="宋体"/>
              </w:rPr>
              <w:t>4、采用B/S架构的管理控制中心，具备终端安全可视，终端统一管理，统一威胁处置，统一漏洞修复，威胁响应处置，日志记录与查询等功能。</w:t>
            </w:r>
          </w:p>
          <w:p w14:paraId="719921DC">
            <w:pPr>
              <w:rPr>
                <w:rFonts w:hint="eastAsia" w:ascii="宋体" w:hAnsi="宋体"/>
              </w:rPr>
            </w:pPr>
            <w:r>
              <w:rPr>
                <w:rFonts w:hint="eastAsia" w:ascii="宋体" w:hAnsi="宋体"/>
              </w:rPr>
              <w:t>5、支持全网风险展示，包括但不限于未处理的勒索病毒数量、高级威胁、暴力破解、僵尸网络、WebShell后门、高危漏洞及其各自影响的终端数量。（需提供产品功能截图证明并加盖厂商公章）</w:t>
            </w:r>
          </w:p>
          <w:p w14:paraId="1AB4EA90">
            <w:pPr>
              <w:rPr>
                <w:rFonts w:hint="eastAsia" w:ascii="宋体" w:hAnsi="宋体"/>
              </w:rPr>
            </w:pPr>
            <w:r>
              <w:rPr>
                <w:rFonts w:hint="eastAsia" w:ascii="宋体" w:hAnsi="宋体"/>
              </w:rPr>
              <w:t>6、提供勒索病毒整体防护体系入口，直观展示最近七天勒索病毒防护效果，包括已处置的勒索病毒数量、已阻止的勒索病毒行为次数、已阻止的未知进程操作次数、已阻止的暴力破解攻击次数。（需提供产品功能截图证明并加盖厂商公章）</w:t>
            </w:r>
          </w:p>
          <w:p w14:paraId="299750AF">
            <w:pPr>
              <w:rPr>
                <w:rFonts w:hint="eastAsia" w:ascii="宋体" w:hAnsi="宋体"/>
              </w:rPr>
            </w:pPr>
            <w:r>
              <w:rPr>
                <w:rFonts w:hint="eastAsia" w:ascii="宋体" w:hAnsi="宋体"/>
              </w:rPr>
              <w:t>7、支持同时展示跟同品牌下一代防火墙进行联动处；置理员可以在防火墙管理界面下发快速查杀任务，并查看任务状态、结果并进行处置，支持在管理平台查询和统计联动信息。（需提供产品功能截图证明并加盖厂商公章）</w:t>
            </w:r>
          </w:p>
          <w:p w14:paraId="2CFF1028">
            <w:pPr>
              <w:rPr>
                <w:rFonts w:hint="eastAsia" w:ascii="宋体" w:hAnsi="宋体"/>
              </w:rPr>
            </w:pPr>
            <w:r>
              <w:rPr>
                <w:rFonts w:hint="eastAsia" w:ascii="宋体" w:hAnsi="宋体"/>
              </w:rPr>
              <w:t>8、支持跳转链接至云端安全威胁响应系统，针对已发生的威胁提供详细的分析结果，包含威胁分析、网络行为、静态分析、分析环境和影响分析。</w:t>
            </w:r>
          </w:p>
          <w:p w14:paraId="501BAC6A">
            <w:pPr>
              <w:rPr>
                <w:rFonts w:hint="eastAsia" w:ascii="宋体" w:hAnsi="宋体"/>
              </w:rPr>
            </w:pPr>
            <w:r>
              <w:rPr>
                <w:rFonts w:hint="eastAsia" w:ascii="宋体" w:hAnsi="宋体"/>
              </w:rPr>
              <w:t>9、支持终端自动分组管理，新接入的终端可以根据网段自动分配到对应的分组。</w:t>
            </w:r>
          </w:p>
          <w:p w14:paraId="50B24F33">
            <w:pPr>
              <w:rPr>
                <w:rFonts w:hint="eastAsia" w:ascii="宋体" w:hAnsi="宋体"/>
              </w:rPr>
            </w:pPr>
            <w:r>
              <w:rPr>
                <w:rFonts w:hint="eastAsia" w:ascii="宋体" w:hAnsi="宋体"/>
              </w:rPr>
              <w:t>10、支持全网视角的终端资产统一清点，便于帮助用户快速发现风险面。清点信息包括操作系统、应用软件、监听端口和终端账户，其中操作系统和监听端口支持从资产和终端两个视角进行统计和展示。</w:t>
            </w:r>
          </w:p>
          <w:p w14:paraId="6395388F">
            <w:pPr>
              <w:rPr>
                <w:rFonts w:hint="eastAsia" w:ascii="宋体" w:hAnsi="宋体"/>
              </w:rPr>
            </w:pPr>
            <w:r>
              <w:rPr>
                <w:rFonts w:hint="eastAsia" w:ascii="宋体" w:hAnsi="宋体"/>
              </w:rPr>
              <w:t>11、支持基于系统内置弱密码字典和自定义弱密码字典的检查功能，弱密码检测支持至少包括SSH、RDP、MySQL、Tomcat、Redis等应用类型，可按照空密码、自定义弱密码、密码长度小于8、字符种类小于3等常见弱密码类型进行分类查看。</w:t>
            </w:r>
          </w:p>
          <w:p w14:paraId="6EA7A867">
            <w:pPr>
              <w:rPr>
                <w:rFonts w:hint="eastAsia" w:ascii="宋体" w:hAnsi="宋体"/>
              </w:rPr>
            </w:pPr>
            <w:r>
              <w:rPr>
                <w:rFonts w:hint="eastAsia" w:ascii="宋体" w:hAnsi="宋体"/>
              </w:rPr>
              <w:t>12、支持勒索风险管理功能，持续跟踪最新的勒索情报和技战法，实时展示出资产中的入侵风险，包括勒索风险端口、勒索应用弱密码和勒索风险漏洞，为用户做勒索风险加固提供数据支撑。</w:t>
            </w:r>
          </w:p>
        </w:tc>
        <w:tc>
          <w:tcPr>
            <w:tcW w:w="992" w:type="dxa"/>
          </w:tcPr>
          <w:p w14:paraId="633AA110">
            <w:pPr>
              <w:rPr>
                <w:rFonts w:hint="eastAsia" w:ascii="宋体" w:hAnsi="宋体"/>
              </w:rPr>
            </w:pPr>
          </w:p>
          <w:p w14:paraId="057332E2">
            <w:pPr>
              <w:pStyle w:val="2"/>
              <w:ind w:left="0" w:firstLine="0" w:firstLineChars="0"/>
            </w:pPr>
          </w:p>
          <w:p w14:paraId="6E3187FA">
            <w:pPr>
              <w:pStyle w:val="2"/>
              <w:ind w:left="0" w:firstLine="0" w:firstLineChars="0"/>
            </w:pPr>
          </w:p>
          <w:p w14:paraId="475060B9">
            <w:pPr>
              <w:pStyle w:val="2"/>
              <w:ind w:left="0" w:firstLine="0" w:firstLineChars="0"/>
            </w:pPr>
          </w:p>
          <w:p w14:paraId="75934E44">
            <w:pPr>
              <w:pStyle w:val="2"/>
              <w:ind w:left="0" w:firstLine="0" w:firstLineChars="0"/>
            </w:pPr>
          </w:p>
          <w:p w14:paraId="2778BE57">
            <w:pPr>
              <w:pStyle w:val="2"/>
              <w:ind w:left="0" w:firstLine="0" w:firstLineChars="0"/>
            </w:pPr>
          </w:p>
          <w:p w14:paraId="430DBE5F">
            <w:pPr>
              <w:pStyle w:val="2"/>
              <w:ind w:firstLine="0" w:firstLineChars="0"/>
            </w:pPr>
            <w:r>
              <w:rPr>
                <w:rFonts w:hint="eastAsia"/>
              </w:rPr>
              <w:t>1套</w:t>
            </w:r>
          </w:p>
        </w:tc>
      </w:tr>
      <w:tr w14:paraId="5BD2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135" w:type="dxa"/>
            <w:vAlign w:val="center"/>
          </w:tcPr>
          <w:p w14:paraId="646D701D">
            <w:pPr>
              <w:rPr>
                <w:rFonts w:hint="eastAsia" w:ascii="宋体" w:hAnsi="宋体"/>
              </w:rPr>
            </w:pPr>
            <w:r>
              <w:rPr>
                <w:rFonts w:hint="eastAsia" w:ascii="宋体" w:hAnsi="宋体"/>
              </w:rPr>
              <w:t>日志审计</w:t>
            </w:r>
          </w:p>
        </w:tc>
        <w:tc>
          <w:tcPr>
            <w:tcW w:w="8080" w:type="dxa"/>
            <w:vAlign w:val="center"/>
          </w:tcPr>
          <w:p w14:paraId="302BEEEB">
            <w:pPr>
              <w:rPr>
                <w:rFonts w:hint="eastAsia" w:ascii="宋体" w:hAnsi="宋体"/>
              </w:rPr>
            </w:pPr>
            <w:r>
              <w:rPr>
                <w:rFonts w:hint="eastAsia" w:ascii="宋体" w:hAnsi="宋体"/>
              </w:rPr>
              <w:t>1、性能：综合每秒处理日志数(EPS)最大性能：2600。硬件规格：1U机箱，6个千兆电口，2个扩展插槽，1个Console接口，单电源，2TB硬盘。包含60个日志源授权，三年硬件维保服务和3年软件升级维护服务。                                                                          2、支持按照Syslog-NG标准及自有格式进行转发，转发时包含原始日志源IP地址；</w:t>
            </w:r>
          </w:p>
          <w:p w14:paraId="20796E43">
            <w:pPr>
              <w:rPr>
                <w:rFonts w:hint="eastAsia" w:ascii="宋体" w:hAnsi="宋体"/>
              </w:rPr>
            </w:pPr>
            <w:r>
              <w:rPr>
                <w:rFonts w:hint="eastAsia" w:ascii="宋体" w:hAnsi="宋体"/>
              </w:rPr>
              <w:t>3、支持对资产IP地址（含内网IP）的地理信息进行管理，设置单IP及IP段行政区及经纬度，支持地图显示（提供证明截图并加盖原厂公章）</w:t>
            </w:r>
          </w:p>
          <w:p w14:paraId="6D87BF5A">
            <w:pPr>
              <w:rPr>
                <w:rFonts w:hint="eastAsia" w:ascii="宋体" w:hAnsi="宋体"/>
              </w:rPr>
            </w:pPr>
            <w:r>
              <w:rPr>
                <w:rFonts w:hint="eastAsia" w:ascii="宋体" w:hAnsi="宋体"/>
              </w:rPr>
              <w:t>4、支持自定义资产类型及资产属性；支持对资产自定义标签，支持对标签内容进行查询和管理。</w:t>
            </w:r>
          </w:p>
          <w:p w14:paraId="0BC4D6AF">
            <w:pPr>
              <w:rPr>
                <w:rFonts w:hint="eastAsia" w:ascii="宋体" w:hAnsi="宋体"/>
              </w:rPr>
            </w:pPr>
            <w:r>
              <w:rPr>
                <w:rFonts w:hint="eastAsia" w:ascii="宋体" w:hAnsi="宋体"/>
              </w:rPr>
              <w:t>5、系统提供页面可视化编辑归一化策略，对页面查看的日志编辑归一化策略，所见即所得，也支持通过归一化文件的导入来支持归一化,不需修改系统程序。</w:t>
            </w:r>
          </w:p>
          <w:p w14:paraId="196CBC23">
            <w:pPr>
              <w:rPr>
                <w:rFonts w:hint="eastAsia" w:ascii="宋体" w:hAnsi="宋体"/>
              </w:rPr>
            </w:pPr>
            <w:r>
              <w:rPr>
                <w:rFonts w:hint="eastAsia" w:ascii="宋体" w:hAnsi="宋体"/>
              </w:rPr>
              <w:t>6、支持正则表达式、Key-Value、JSON日志解析，支持日志自动化辅助范化。</w:t>
            </w:r>
          </w:p>
          <w:p w14:paraId="7B7A45E8">
            <w:pPr>
              <w:rPr>
                <w:rFonts w:hint="eastAsia" w:ascii="宋体" w:hAnsi="宋体"/>
              </w:rPr>
            </w:pPr>
            <w:r>
              <w:rPr>
                <w:rFonts w:hint="eastAsia" w:ascii="宋体" w:hAnsi="宋体"/>
              </w:rPr>
              <w:t>7、支持以图形化的方式展示日志属性之间的聚合关系，并支持手动选择日志属性，显示多维事件分析图；属性可增加或减少，且支持图片大小调整。（提供证明截图并加盖原厂公章）</w:t>
            </w:r>
          </w:p>
          <w:p w14:paraId="1CD8C228">
            <w:pPr>
              <w:rPr>
                <w:rFonts w:hint="eastAsia" w:ascii="宋体" w:hAnsi="宋体"/>
              </w:rPr>
            </w:pPr>
            <w:r>
              <w:rPr>
                <w:rFonts w:hint="eastAsia" w:ascii="宋体" w:hAnsi="宋体"/>
              </w:rPr>
              <w:t>8、支持对日志中的源和目的IP地址进行自动补全，补全IP地址的资产、国家、区域和城市等信息</w:t>
            </w:r>
          </w:p>
          <w:p w14:paraId="376B401F">
            <w:pPr>
              <w:rPr>
                <w:rFonts w:hint="eastAsia" w:ascii="宋体" w:hAnsi="宋体"/>
              </w:rPr>
            </w:pPr>
            <w:r>
              <w:rPr>
                <w:rFonts w:hint="eastAsia" w:ascii="宋体" w:hAnsi="宋体"/>
              </w:rPr>
              <w:t>9、系统提供页面可视化编辑归一化策略，对页面查看的日志编辑归一化策略，所见即所得，也支持通过归一化文件的导入来支持归一化,不需修改系统程序。</w:t>
            </w:r>
          </w:p>
          <w:p w14:paraId="08719B3C">
            <w:pPr>
              <w:rPr>
                <w:rFonts w:hint="eastAsia" w:ascii="宋体" w:hAnsi="宋体"/>
              </w:rPr>
            </w:pPr>
          </w:p>
        </w:tc>
        <w:tc>
          <w:tcPr>
            <w:tcW w:w="992" w:type="dxa"/>
          </w:tcPr>
          <w:p w14:paraId="3AADAE0D">
            <w:pPr>
              <w:rPr>
                <w:rFonts w:hint="eastAsia" w:ascii="宋体" w:hAnsi="宋体"/>
              </w:rPr>
            </w:pPr>
          </w:p>
          <w:p w14:paraId="3F6A6250">
            <w:pPr>
              <w:pStyle w:val="2"/>
              <w:ind w:left="0" w:firstLine="0" w:firstLineChars="0"/>
            </w:pPr>
          </w:p>
          <w:p w14:paraId="156724C4">
            <w:pPr>
              <w:pStyle w:val="2"/>
              <w:ind w:left="0" w:firstLine="0" w:firstLineChars="0"/>
            </w:pPr>
          </w:p>
          <w:p w14:paraId="2AD04B02">
            <w:pPr>
              <w:pStyle w:val="2"/>
              <w:ind w:left="0" w:firstLine="0" w:firstLineChars="0"/>
            </w:pPr>
          </w:p>
          <w:p w14:paraId="3CBC3A3F">
            <w:pPr>
              <w:pStyle w:val="2"/>
              <w:ind w:left="0" w:firstLine="0" w:firstLineChars="0"/>
            </w:pPr>
          </w:p>
          <w:p w14:paraId="2A75044D">
            <w:pPr>
              <w:pStyle w:val="2"/>
              <w:ind w:left="0" w:firstLine="0" w:firstLineChars="0"/>
            </w:pPr>
          </w:p>
          <w:p w14:paraId="087BC0E5">
            <w:pPr>
              <w:pStyle w:val="2"/>
              <w:ind w:left="0" w:firstLine="0" w:firstLineChars="0"/>
            </w:pPr>
            <w:r>
              <w:rPr>
                <w:rFonts w:hint="eastAsia"/>
              </w:rPr>
              <w:t>1台</w:t>
            </w:r>
          </w:p>
        </w:tc>
      </w:tr>
      <w:tr w14:paraId="1BC7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135" w:type="dxa"/>
            <w:vAlign w:val="center"/>
          </w:tcPr>
          <w:p w14:paraId="25CD6CEF">
            <w:pPr>
              <w:rPr>
                <w:rFonts w:hint="eastAsia" w:ascii="宋体" w:hAnsi="宋体"/>
              </w:rPr>
            </w:pPr>
            <w:r>
              <w:rPr>
                <w:rFonts w:hint="eastAsia" w:ascii="宋体" w:hAnsi="宋体"/>
              </w:rPr>
              <w:t>安全托管服务</w:t>
            </w:r>
          </w:p>
        </w:tc>
        <w:tc>
          <w:tcPr>
            <w:tcW w:w="8080" w:type="dxa"/>
            <w:vAlign w:val="center"/>
          </w:tcPr>
          <w:p w14:paraId="09FD5868">
            <w:pPr>
              <w:rPr>
                <w:rFonts w:hint="eastAsia" w:ascii="宋体" w:hAnsi="宋体"/>
              </w:rPr>
            </w:pPr>
            <w:r>
              <w:rPr>
                <w:rFonts w:hint="eastAsia" w:ascii="宋体" w:hAnsi="宋体"/>
              </w:rPr>
              <w:t>1、告警数据与云端运营中心联动，云端安全专家提供7*24小时的安全运营托管服务。</w:t>
            </w:r>
          </w:p>
          <w:p w14:paraId="57354E71">
            <w:pPr>
              <w:rPr>
                <w:rFonts w:hint="eastAsia" w:ascii="宋体" w:hAnsi="宋体"/>
              </w:rPr>
            </w:pPr>
            <w:r>
              <w:rPr>
                <w:rFonts w:hint="eastAsia" w:ascii="宋体" w:hAnsi="宋体"/>
              </w:rPr>
              <w:t>2、定期发送安全运营报告，让用户清晰了解安全运营态势、安全运营工作情况。</w:t>
            </w:r>
          </w:p>
          <w:p w14:paraId="330F3BE3">
            <w:pPr>
              <w:rPr>
                <w:rFonts w:hint="eastAsia" w:ascii="宋体" w:hAnsi="宋体"/>
              </w:rPr>
            </w:pPr>
            <w:r>
              <w:rPr>
                <w:rFonts w:hint="eastAsia" w:ascii="宋体" w:hAnsi="宋体"/>
              </w:rPr>
              <w:t>3、探测互联网边界资产，包含IP、端口、漏洞、域名、API接口、弱口令、敏感代码、敏感文档、邮箱、微信公众号、微信小程序等（提供证明截图并加盖公章）。</w:t>
            </w:r>
          </w:p>
          <w:p w14:paraId="6A795073">
            <w:pPr>
              <w:rPr>
                <w:rFonts w:hint="eastAsia" w:ascii="宋体" w:hAnsi="宋体"/>
              </w:rPr>
            </w:pPr>
            <w:r>
              <w:rPr>
                <w:rFonts w:hint="eastAsia" w:ascii="宋体" w:hAnsi="宋体"/>
              </w:rPr>
              <w:t>4、对主机、网络设备、操作系统、数据库、中间件等进行常态化的漏洞与弱口令扫描，提供漏洞、弱口令扫描结果与整改建议。</w:t>
            </w:r>
          </w:p>
          <w:p w14:paraId="4B103593">
            <w:pPr>
              <w:rPr>
                <w:rFonts w:hint="eastAsia" w:ascii="宋体" w:hAnsi="宋体"/>
              </w:rPr>
            </w:pPr>
            <w:r>
              <w:rPr>
                <w:rFonts w:hint="eastAsia" w:ascii="宋体" w:hAnsi="宋体"/>
              </w:rPr>
              <w:t>5、监测互联网出口与服务器区域边界流量，及时发现包括非法外联、外网攻击、内网传播、暴力破解、利用成功等攻击行为。</w:t>
            </w:r>
          </w:p>
          <w:p w14:paraId="54634792">
            <w:pPr>
              <w:rPr>
                <w:rFonts w:hint="eastAsia" w:ascii="宋体" w:hAnsi="宋体"/>
              </w:rPr>
            </w:pPr>
            <w:r>
              <w:rPr>
                <w:rFonts w:hint="eastAsia" w:ascii="宋体" w:hAnsi="宋体"/>
              </w:rPr>
              <w:t>6、发生相关风险告警，通过邮件、飞书、钉钉、企业微信等形式及时通知用户。</w:t>
            </w:r>
          </w:p>
          <w:p w14:paraId="03C882DA">
            <w:pPr>
              <w:pStyle w:val="2"/>
              <w:spacing w:line="240" w:lineRule="auto"/>
              <w:ind w:firstLine="0" w:firstLineChars="0"/>
            </w:pPr>
            <w:r>
              <w:rPr>
                <w:rFonts w:hint="eastAsia"/>
              </w:rPr>
              <w:t>7</w:t>
            </w:r>
            <w:r>
              <w:rPr>
                <w:rFonts w:hint="eastAsia" w:ascii="宋体" w:hAnsi="宋体"/>
                <w:sz w:val="21"/>
              </w:rPr>
              <w:t>、支持高交互蜜罐，精准诱捕攻击蜜罐的失陷主机，深挖各种内网潜伏威胁：勒索病毒传播、内网主机被远控后横向攻击（提供证明截图并加盖公章）。</w:t>
            </w:r>
          </w:p>
        </w:tc>
        <w:tc>
          <w:tcPr>
            <w:tcW w:w="992" w:type="dxa"/>
            <w:vMerge w:val="restart"/>
          </w:tcPr>
          <w:p w14:paraId="56F3B1BB">
            <w:pPr>
              <w:rPr>
                <w:rFonts w:hint="eastAsia" w:ascii="宋体" w:hAnsi="宋体"/>
              </w:rPr>
            </w:pPr>
          </w:p>
          <w:p w14:paraId="4BE92E05">
            <w:pPr>
              <w:pStyle w:val="2"/>
              <w:ind w:left="0" w:firstLine="0" w:firstLineChars="0"/>
            </w:pPr>
          </w:p>
          <w:p w14:paraId="059E5FCE">
            <w:pPr>
              <w:pStyle w:val="2"/>
              <w:ind w:left="0" w:firstLine="0" w:firstLineChars="0"/>
            </w:pPr>
          </w:p>
          <w:p w14:paraId="2656E3C8">
            <w:pPr>
              <w:pStyle w:val="2"/>
              <w:ind w:left="0" w:firstLine="0" w:firstLineChars="0"/>
            </w:pPr>
          </w:p>
          <w:p w14:paraId="4D9E3092">
            <w:pPr>
              <w:pStyle w:val="2"/>
              <w:ind w:left="0" w:firstLine="0" w:firstLineChars="0"/>
            </w:pPr>
          </w:p>
          <w:p w14:paraId="2BDD4AF3">
            <w:pPr>
              <w:pStyle w:val="2"/>
              <w:ind w:left="0" w:firstLine="0" w:firstLineChars="0"/>
            </w:pPr>
          </w:p>
          <w:p w14:paraId="52957CE3">
            <w:pPr>
              <w:pStyle w:val="2"/>
              <w:ind w:left="0" w:firstLine="0" w:firstLineChars="0"/>
            </w:pPr>
          </w:p>
          <w:p w14:paraId="2B647CD3">
            <w:pPr>
              <w:pStyle w:val="2"/>
              <w:ind w:left="0" w:firstLine="0" w:firstLineChars="0"/>
            </w:pPr>
          </w:p>
          <w:p w14:paraId="67546ED5">
            <w:pPr>
              <w:pStyle w:val="2"/>
              <w:ind w:left="0" w:firstLine="0" w:firstLineChars="0"/>
            </w:pPr>
            <w:r>
              <w:rPr>
                <w:rFonts w:hint="eastAsia"/>
              </w:rPr>
              <w:t>1年</w:t>
            </w:r>
          </w:p>
          <w:p w14:paraId="2D2CD0A6">
            <w:pPr>
              <w:rPr>
                <w:rFonts w:hint="eastAsia" w:ascii="宋体" w:hAnsi="宋体"/>
              </w:rPr>
            </w:pPr>
          </w:p>
          <w:p w14:paraId="3ABCDCCE">
            <w:pPr>
              <w:pStyle w:val="2"/>
              <w:ind w:left="0"/>
            </w:pPr>
          </w:p>
        </w:tc>
      </w:tr>
      <w:tr w14:paraId="5A72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135" w:type="dxa"/>
            <w:vAlign w:val="center"/>
          </w:tcPr>
          <w:p w14:paraId="5D98C377">
            <w:pPr>
              <w:rPr>
                <w:rFonts w:hint="eastAsia" w:ascii="宋体" w:hAnsi="宋体"/>
              </w:rPr>
            </w:pPr>
            <w:r>
              <w:rPr>
                <w:rFonts w:hint="eastAsia" w:ascii="宋体" w:hAnsi="宋体"/>
              </w:rPr>
              <w:t>探针安服工具一体机</w:t>
            </w:r>
          </w:p>
        </w:tc>
        <w:tc>
          <w:tcPr>
            <w:tcW w:w="8080" w:type="dxa"/>
            <w:vAlign w:val="center"/>
          </w:tcPr>
          <w:p w14:paraId="144F1753">
            <w:pPr>
              <w:rPr>
                <w:rFonts w:hint="eastAsia" w:ascii="宋体" w:hAnsi="宋体"/>
              </w:rPr>
            </w:pPr>
            <w:r>
              <w:rPr>
                <w:rFonts w:hint="eastAsia" w:ascii="宋体" w:hAnsi="宋体"/>
              </w:rPr>
              <w:t>机架式设备，配置≥4个千兆电口，≥64G内存，≥2T硬盘存储空间，冗余电源，三年年有效期。</w:t>
            </w:r>
          </w:p>
          <w:p w14:paraId="5755547E">
            <w:pPr>
              <w:rPr>
                <w:rFonts w:hint="eastAsia" w:ascii="宋体" w:hAnsi="宋体"/>
              </w:rPr>
            </w:pPr>
            <w:r>
              <w:rPr>
                <w:rFonts w:hint="eastAsia" w:ascii="宋体" w:hAnsi="宋体"/>
              </w:rPr>
              <w:t>1、扫描次数授权：无限制；</w:t>
            </w:r>
          </w:p>
          <w:p w14:paraId="7F975676">
            <w:pPr>
              <w:rPr>
                <w:rFonts w:hint="eastAsia" w:ascii="宋体" w:hAnsi="宋体"/>
              </w:rPr>
            </w:pPr>
            <w:r>
              <w:rPr>
                <w:rFonts w:hint="eastAsia" w:ascii="宋体" w:hAnsi="宋体"/>
              </w:rPr>
              <w:t>2、扫描IP/域名范围授权：无限制；</w:t>
            </w:r>
          </w:p>
          <w:p w14:paraId="6BDCF443">
            <w:pPr>
              <w:rPr>
                <w:rFonts w:hint="eastAsia" w:ascii="宋体" w:hAnsi="宋体"/>
              </w:rPr>
            </w:pPr>
            <w:r>
              <w:rPr>
                <w:rFonts w:hint="eastAsia" w:ascii="宋体" w:hAnsi="宋体"/>
              </w:rPr>
              <w:t>3、提供仿真业务陷阱授权数：无限制；</w:t>
            </w:r>
          </w:p>
          <w:p w14:paraId="46C75C52">
            <w:pPr>
              <w:rPr>
                <w:rFonts w:hint="eastAsia" w:ascii="宋体" w:hAnsi="宋体"/>
              </w:rPr>
            </w:pPr>
            <w:r>
              <w:rPr>
                <w:rFonts w:hint="eastAsia" w:ascii="宋体" w:hAnsi="宋体"/>
              </w:rPr>
              <w:t>4、提供出口流量监测带宽授权：2Gbps</w:t>
            </w:r>
          </w:p>
        </w:tc>
        <w:tc>
          <w:tcPr>
            <w:tcW w:w="992" w:type="dxa"/>
            <w:vMerge w:val="continue"/>
          </w:tcPr>
          <w:p w14:paraId="27A74713">
            <w:pPr>
              <w:pStyle w:val="2"/>
              <w:ind w:left="0" w:firstLine="0" w:firstLineChars="0"/>
            </w:pPr>
          </w:p>
        </w:tc>
      </w:tr>
      <w:tr w14:paraId="79B4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135" w:type="dxa"/>
            <w:vAlign w:val="center"/>
          </w:tcPr>
          <w:p w14:paraId="372DFFBB">
            <w:pPr>
              <w:rPr>
                <w:rFonts w:hint="eastAsia" w:ascii="宋体" w:hAnsi="宋体"/>
              </w:rPr>
            </w:pPr>
            <w:r>
              <w:rPr>
                <w:rFonts w:hint="eastAsia" w:ascii="宋体" w:hAnsi="宋体"/>
              </w:rPr>
              <w:t>堡垒机</w:t>
            </w:r>
          </w:p>
        </w:tc>
        <w:tc>
          <w:tcPr>
            <w:tcW w:w="8080" w:type="dxa"/>
            <w:vAlign w:val="center"/>
          </w:tcPr>
          <w:p w14:paraId="34E5D939">
            <w:pPr>
              <w:rPr>
                <w:rFonts w:hint="eastAsia" w:ascii="宋体" w:hAnsi="宋体"/>
              </w:rPr>
            </w:pPr>
            <w:r>
              <w:rPr>
                <w:rFonts w:hint="eastAsia" w:ascii="宋体" w:hAnsi="宋体"/>
              </w:rPr>
              <w:t>1、标准1U机架式硬件、单电源、硬盘容量≥2T、标配≥2个电管理口，标配≥4个电业务口，字符连接数≥50，图形连接数≥10，授权资产数量≥50，RJ45串口1个，USB接口≥2个，运维用户无限制。</w:t>
            </w:r>
          </w:p>
          <w:p w14:paraId="74DFE5B9">
            <w:pPr>
              <w:rPr>
                <w:rFonts w:hint="eastAsia" w:ascii="宋体" w:hAnsi="宋体"/>
              </w:rPr>
            </w:pPr>
            <w:r>
              <w:rPr>
                <w:rFonts w:hint="eastAsia" w:ascii="宋体" w:hAnsi="宋体"/>
              </w:rPr>
              <w:t>2、支持常用的运维协议：SSH、TELNET、RDP、VNC、FTP、SFTP、rlogin、X11；可通过应用发布的方式进行协议扩展，如数据库Oracle、MSSQL、MySQL、VMware vSphere Client、浏览器等客户端工具。</w:t>
            </w:r>
          </w:p>
          <w:p w14:paraId="1C09F2ED">
            <w:pPr>
              <w:rPr>
                <w:rFonts w:hint="eastAsia" w:ascii="宋体" w:hAnsi="宋体"/>
              </w:rPr>
            </w:pPr>
            <w:r>
              <w:rPr>
                <w:rFonts w:hint="eastAsia" w:ascii="宋体" w:hAnsi="宋体"/>
              </w:rPr>
              <w:t xml:space="preserve">3、支持标准化对接CAS、JWT、SAML2、OAuth2单点登录认证，且支持配置是否自动创建堡垒机用户（需提供相关截图证明并加盖原厂公章）。 </w:t>
            </w:r>
          </w:p>
          <w:p w14:paraId="409EC0B3">
            <w:pPr>
              <w:rPr>
                <w:rFonts w:hint="eastAsia" w:ascii="宋体" w:hAnsi="宋体"/>
              </w:rPr>
            </w:pPr>
            <w:r>
              <w:rPr>
                <w:rFonts w:hint="eastAsia" w:ascii="宋体" w:hAnsi="宋体"/>
              </w:rPr>
              <w:t xml:space="preserve">4、支持基于国密算法的动态令牌进行双因子认证。 </w:t>
            </w:r>
          </w:p>
          <w:p w14:paraId="65B5C82A">
            <w:pPr>
              <w:rPr>
                <w:rFonts w:hint="eastAsia" w:ascii="宋体" w:hAnsi="宋体"/>
              </w:rPr>
            </w:pPr>
            <w:r>
              <w:rPr>
                <w:rFonts w:hint="eastAsia" w:ascii="宋体" w:hAnsi="宋体"/>
              </w:rPr>
              <w:t xml:space="preserve">5、支持IE、谷歌或火狐浏览器代填应用发布：HTTP/HTTPS协议的web设备，且可以直接代填账号和密码（提供证明截图并加盖原厂公章）。 </w:t>
            </w:r>
          </w:p>
          <w:p w14:paraId="145CA929">
            <w:pPr>
              <w:rPr>
                <w:rFonts w:hint="eastAsia" w:ascii="宋体" w:hAnsi="宋体"/>
              </w:rPr>
            </w:pPr>
            <w:r>
              <w:rPr>
                <w:rFonts w:hint="eastAsia" w:ascii="宋体" w:hAnsi="宋体"/>
              </w:rPr>
              <w:t>6、支持自动收集设备IP、运维协议、端口号、账号、密码、与用户的权限关系，可自动完成授权（需提供国家权威机构证明并加盖原厂公章）。</w:t>
            </w:r>
          </w:p>
          <w:p w14:paraId="56477FDF">
            <w:pPr>
              <w:rPr>
                <w:rFonts w:hint="eastAsia" w:ascii="宋体" w:hAnsi="宋体"/>
              </w:rPr>
            </w:pPr>
            <w:r>
              <w:rPr>
                <w:rFonts w:hint="eastAsia" w:ascii="宋体" w:hAnsi="宋体"/>
              </w:rPr>
              <w:t>7、支持对数据库会话记录图形审计及命令提取，并且实现点击任意一条数据库命令，自动跳转到对应的录像片段（需提供相关截图证明并加盖原厂公章）。</w:t>
            </w:r>
          </w:p>
        </w:tc>
        <w:tc>
          <w:tcPr>
            <w:tcW w:w="992" w:type="dxa"/>
          </w:tcPr>
          <w:p w14:paraId="564FAC90">
            <w:pPr>
              <w:rPr>
                <w:rFonts w:hint="eastAsia" w:ascii="宋体" w:hAnsi="宋体"/>
              </w:rPr>
            </w:pPr>
          </w:p>
          <w:p w14:paraId="7C6757DD">
            <w:pPr>
              <w:pStyle w:val="2"/>
              <w:ind w:left="0" w:firstLine="0" w:firstLineChars="0"/>
            </w:pPr>
          </w:p>
          <w:p w14:paraId="430410D0">
            <w:pPr>
              <w:pStyle w:val="2"/>
              <w:ind w:left="0" w:firstLine="0" w:firstLineChars="0"/>
            </w:pPr>
          </w:p>
          <w:p w14:paraId="0ECA99C3">
            <w:pPr>
              <w:pStyle w:val="2"/>
              <w:ind w:left="0" w:firstLine="0" w:firstLineChars="0"/>
            </w:pPr>
          </w:p>
          <w:p w14:paraId="075A8982">
            <w:pPr>
              <w:pStyle w:val="2"/>
              <w:ind w:left="0" w:firstLine="0" w:firstLineChars="0"/>
            </w:pPr>
          </w:p>
          <w:p w14:paraId="5D6146D6">
            <w:pPr>
              <w:pStyle w:val="2"/>
              <w:ind w:left="0" w:firstLine="0" w:firstLineChars="0"/>
            </w:pPr>
            <w:r>
              <w:rPr>
                <w:rFonts w:hint="eastAsia"/>
              </w:rPr>
              <w:t>1台</w:t>
            </w:r>
          </w:p>
        </w:tc>
      </w:tr>
      <w:bookmarkEnd w:id="0"/>
    </w:tbl>
    <w:p w14:paraId="2F9BBCE3">
      <w:pPr>
        <w:rPr>
          <w:rFonts w:hint="eastAsia" w:ascii="宋体" w:hAnsi="宋体"/>
        </w:rPr>
      </w:pPr>
    </w:p>
    <w:p w14:paraId="7DA37597">
      <w:pPr>
        <w:rPr>
          <w:rFonts w:hint="eastAsia" w:ascii="宋体" w:hAnsi="宋体" w:eastAsia="宋体"/>
          <w:lang w:eastAsia="zh-CN"/>
        </w:rPr>
      </w:pPr>
      <w:r>
        <w:rPr>
          <w:rFonts w:hint="eastAsia" w:ascii="宋体" w:hAnsi="宋体"/>
        </w:rPr>
        <w:t>本次网络</w:t>
      </w:r>
      <w:bookmarkStart w:id="1" w:name="_GoBack"/>
      <w:bookmarkEnd w:id="1"/>
      <w:r>
        <w:rPr>
          <w:rFonts w:hint="eastAsia" w:ascii="宋体" w:hAnsi="宋体"/>
        </w:rPr>
        <w:t>安全规划防火墙2台、杀毒一套、日志审计一台、堡垒机一台、mss服务一年</w:t>
      </w:r>
      <w:r>
        <w:rPr>
          <w:rFonts w:hint="eastAsia" w:ascii="宋体" w:hAnsi="宋体"/>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C238E"/>
    <w:multiLevelType w:val="singleLevel"/>
    <w:tmpl w:val="1CEC23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F3"/>
    <w:rsid w:val="00006D5B"/>
    <w:rsid w:val="00223A94"/>
    <w:rsid w:val="00232740"/>
    <w:rsid w:val="00295B0B"/>
    <w:rsid w:val="002E1B45"/>
    <w:rsid w:val="00345515"/>
    <w:rsid w:val="003B43B1"/>
    <w:rsid w:val="003F4568"/>
    <w:rsid w:val="00473F56"/>
    <w:rsid w:val="005227AD"/>
    <w:rsid w:val="00525448"/>
    <w:rsid w:val="00574DE2"/>
    <w:rsid w:val="00645E1B"/>
    <w:rsid w:val="0069117F"/>
    <w:rsid w:val="00721998"/>
    <w:rsid w:val="00A0341E"/>
    <w:rsid w:val="00A321A7"/>
    <w:rsid w:val="00AB4F91"/>
    <w:rsid w:val="00B56D0C"/>
    <w:rsid w:val="00E52031"/>
    <w:rsid w:val="00E64FF3"/>
    <w:rsid w:val="00FC1124"/>
    <w:rsid w:val="122A5D51"/>
    <w:rsid w:val="259C5C74"/>
    <w:rsid w:val="29C44E67"/>
    <w:rsid w:val="37AB3F0C"/>
    <w:rsid w:val="5BDB1AE1"/>
    <w:rsid w:val="78DE4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Autospacing="1" w:afterAutospacing="1"/>
      <w:ind w:right="197" w:rightChars="94"/>
      <w:jc w:val="left"/>
      <w:outlineLvl w:val="0"/>
    </w:pPr>
    <w:rPr>
      <w:rFonts w:hint="eastAsia" w:ascii="宋体" w:hAnsi="宋体" w:cs="Times New Roman"/>
      <w:b/>
      <w:bCs/>
      <w:kern w:val="44"/>
      <w:sz w:val="24"/>
      <w:szCs w:val="48"/>
      <w14:ligatures w14:val="standardContextual"/>
    </w:rPr>
  </w:style>
  <w:style w:type="paragraph" w:styleId="4">
    <w:name w:val="heading 2"/>
    <w:basedOn w:val="1"/>
    <w:next w:val="1"/>
    <w:link w:val="11"/>
    <w:semiHidden/>
    <w:unhideWhenUsed/>
    <w:qFormat/>
    <w:uiPriority w:val="0"/>
    <w:pPr>
      <w:spacing w:beforeAutospacing="1" w:afterAutospacing="1"/>
      <w:ind w:right="187" w:rightChars="89"/>
      <w:jc w:val="left"/>
      <w:outlineLvl w:val="1"/>
    </w:pPr>
    <w:rPr>
      <w:rFonts w:hint="eastAsia" w:ascii="宋体" w:hAnsi="宋体" w:cs="Times New Roman"/>
      <w:b/>
      <w:bCs/>
      <w:kern w:val="0"/>
      <w:sz w:val="24"/>
      <w:szCs w:val="36"/>
      <w14:ligatures w14:val="standardContextual"/>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tabs>
        <w:tab w:val="left" w:pos="993"/>
        <w:tab w:val="left" w:pos="1695"/>
      </w:tabs>
      <w:spacing w:line="360" w:lineRule="auto"/>
      <w:ind w:left="-1" w:firstLine="480" w:firstLineChars="200"/>
    </w:pPr>
    <w:rPr>
      <w:sz w:val="24"/>
    </w:rPr>
  </w:style>
  <w:style w:type="paragraph" w:styleId="5">
    <w:name w:val="Body Text"/>
    <w:basedOn w:val="1"/>
    <w:unhideWhenUsed/>
    <w:qFormat/>
    <w:uiPriority w:val="99"/>
    <w:pPr>
      <w:spacing w:after="120"/>
    </w:p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字符"/>
    <w:link w:val="4"/>
    <w:qFormat/>
    <w:uiPriority w:val="0"/>
    <w:rPr>
      <w:rFonts w:hint="eastAsia" w:ascii="宋体" w:hAnsi="宋体" w:eastAsia="宋体" w:cs="宋体"/>
      <w:b/>
      <w:bCs/>
      <w:kern w:val="0"/>
      <w:sz w:val="24"/>
      <w:szCs w:val="36"/>
      <w:lang w:bidi="ar"/>
      <w14:ligatures w14:val="standardContextual"/>
    </w:rPr>
  </w:style>
  <w:style w:type="character" w:customStyle="1" w:styleId="12">
    <w:name w:val="页眉 字符"/>
    <w:basedOn w:val="10"/>
    <w:link w:val="7"/>
    <w:qFormat/>
    <w:uiPriority w:val="0"/>
    <w:rPr>
      <w:rFonts w:ascii="Calibri" w:hAnsi="Calibri" w:eastAsia="宋体" w:cs="宋体"/>
      <w:kern w:val="2"/>
      <w:sz w:val="18"/>
      <w:szCs w:val="18"/>
    </w:rPr>
  </w:style>
  <w:style w:type="character" w:customStyle="1" w:styleId="13">
    <w:name w:val="页脚 字符"/>
    <w:basedOn w:val="10"/>
    <w:link w:val="6"/>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1752</Words>
  <Characters>1963</Characters>
  <Lines>93</Lines>
  <Paragraphs>67</Paragraphs>
  <TotalTime>80</TotalTime>
  <ScaleCrop>false</ScaleCrop>
  <LinksUpToDate>false</LinksUpToDate>
  <CharactersWithSpaces>3648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2025-09-19T08:46:00Z</dcterms:created>
  <dc:creator>李可鑫</dc:creator>
  <cp:lastModifiedBy>Administrator</cp:lastModifiedBy>
  <dcterms:modified xsi:type="dcterms:W3CDTF">2025-11-15T03:23:38Z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2FB3C006F5514A79A7A3D57451DDD212_13</vt:lpwstr>
  </property>
  <property fmtid="{D5CDD505-2E9C-101B-9397-08002B2CF9AE}" pid="4" name="KSOTemplateDocerSaveRecord">
    <vt:lpwstr>eyJoZGlkIjoiZDk4NmRjODhlZDllYzRlNDg4ZWE3ODE4ODJhMjk0ZjMiLCJ1c2VySWQiOiI0NzIxODA2MjgifQ==</vt:lpwstr>
  </property>
</Properties>
</file>